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21.09.2018                                                                                               № 33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AE0825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E71E3D">
        <w:rPr>
          <w:rFonts w:ascii="Times New Roman" w:hAnsi="Times New Roman" w:cs="Times New Roman"/>
          <w:snapToGrid w:val="0"/>
          <w:sz w:val="28"/>
          <w:szCs w:val="28"/>
        </w:rPr>
        <w:t>8 -2021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</w:p>
    <w:bookmarkEnd w:id="0"/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69-ФЗ «О пожарной безопасности», Федеральным Законом от 06.10.2003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» Биробиджанского муниципального района Еврейской автономной области,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1E3D" w:rsidRPr="00905677" w:rsidRDefault="00E71E3D" w:rsidP="008F5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муниципальную программу </w:t>
      </w:r>
      <w:r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«Надеждинское сельское поселение»</w:t>
      </w:r>
      <w:r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5677">
        <w:rPr>
          <w:rFonts w:ascii="Times New Roman" w:hAnsi="Times New Roman" w:cs="Times New Roman"/>
          <w:snapToGrid w:val="0"/>
          <w:sz w:val="28"/>
          <w:szCs w:val="28"/>
        </w:rPr>
        <w:t>на 2018 -2021</w:t>
      </w:r>
      <w:r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</w:p>
    <w:p w:rsidR="00702B3C" w:rsidRPr="00905677" w:rsidRDefault="008F533E" w:rsidP="008F5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="00702B3C" w:rsidRPr="00905677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 силу постановления администрации от:</w:t>
      </w:r>
    </w:p>
    <w:p w:rsidR="008F533E" w:rsidRDefault="008F533E" w:rsidP="008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2B3C" w:rsidRPr="009056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42DE" w:rsidRPr="00905677">
        <w:rPr>
          <w:rFonts w:ascii="Times New Roman" w:hAnsi="Times New Roman" w:cs="Times New Roman"/>
          <w:color w:val="000000"/>
          <w:sz w:val="28"/>
          <w:szCs w:val="28"/>
        </w:rPr>
        <w:t>от 08.02.2016 № 7</w:t>
      </w:r>
      <w:r w:rsidR="00702B3C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2DE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B42DE"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муниципальной целевой программы «Защита населения и территории от последствий чрезвычайных ситуаций природного и техногенного характера, гражданская оборона</w:t>
      </w:r>
      <w:r w:rsidR="00AB42DE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территории муниципального образования «Надеждинское сельское поселение» Биробиджанского муниципального района Еврейской автономной области на 2016-2018 годы</w:t>
      </w:r>
      <w:r w:rsidR="00AB42DE" w:rsidRPr="00905677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AB42DE" w:rsidRPr="00905677" w:rsidRDefault="008F533E" w:rsidP="008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B42DE" w:rsidRPr="00905677">
        <w:rPr>
          <w:rFonts w:ascii="Times New Roman" w:hAnsi="Times New Roman" w:cs="Times New Roman"/>
          <w:snapToGrid w:val="0"/>
          <w:sz w:val="28"/>
          <w:szCs w:val="28"/>
        </w:rPr>
        <w:t>- от 22.06.2016 № 35</w:t>
      </w:r>
      <w:r w:rsidR="00AB42DE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B42DE"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от 08.02.2016 № 7 «Об утверждении муниципальной целевой программы «Защита населения и территории от последствий чрезвычайных ситуаций природного и техногенного характера, гражданская оборона</w:t>
      </w:r>
      <w:r w:rsidR="00AB42DE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территории муниципального образования «Надеждинское сельское поселение» Биробиджанского муниципального района Еврейской автономной области на 2016-2018 годы»</w:t>
      </w:r>
    </w:p>
    <w:p w:rsidR="00905677" w:rsidRPr="00905677" w:rsidRDefault="008F533E" w:rsidP="008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AB42DE" w:rsidRPr="00905677">
        <w:rPr>
          <w:rFonts w:ascii="Times New Roman" w:hAnsi="Times New Roman" w:cs="Times New Roman"/>
          <w:snapToGrid w:val="0"/>
          <w:sz w:val="28"/>
          <w:szCs w:val="28"/>
        </w:rPr>
        <w:t>-23.11.2016 № 59 «</w:t>
      </w:r>
      <w:r w:rsidR="00905677"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 администрации от 08.02.2016 № 7 «Об утверждении муниципальной целевой программы «Защита населения и территории от последствий чрезвычайных ситуаций природного и техногенного характера, гражданская оборона</w:t>
      </w:r>
      <w:r w:rsidR="00905677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территории муниципального </w:t>
      </w:r>
      <w:r w:rsidR="00905677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образования «Надеждинское сельское поселение» Биробиджанского муниципального района Еврейской автономной области на 2016-2018 годы»</w:t>
      </w:r>
    </w:p>
    <w:p w:rsidR="008F533E" w:rsidRDefault="008F533E" w:rsidP="008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5677" w:rsidRPr="00905677">
        <w:rPr>
          <w:rFonts w:ascii="Times New Roman" w:hAnsi="Times New Roman" w:cs="Times New Roman"/>
          <w:color w:val="000000"/>
          <w:sz w:val="28"/>
          <w:szCs w:val="28"/>
        </w:rPr>
        <w:t>- 16.04.2018 № 14 «</w:t>
      </w:r>
      <w:r w:rsidR="00905677"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905677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 администрации от 08.02.2016 № 7 «Об утверждении </w:t>
      </w:r>
      <w:r w:rsidR="00905677" w:rsidRPr="009056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905677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05677" w:rsidRPr="00905677">
        <w:rPr>
          <w:rFonts w:ascii="Times New Roman" w:eastAsia="Calibri" w:hAnsi="Times New Roman" w:cs="Times New Roman"/>
          <w:bCs/>
          <w:sz w:val="28"/>
          <w:szCs w:val="28"/>
        </w:rPr>
        <w:t>Защита населения и территории от последствий чрезвычайных ситуаций природного и техногенного характера, гражданская оборона»</w:t>
      </w:r>
      <w:r w:rsidR="00905677" w:rsidRPr="0090567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территории муниципального образования «Надеждинское сельское поселение» Биробиджанского муниципального района Еврейской автономной области на 2016-2018 годы» </w:t>
      </w:r>
    </w:p>
    <w:p w:rsidR="008F533E" w:rsidRPr="00905677" w:rsidRDefault="008F533E" w:rsidP="008F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05677">
        <w:rPr>
          <w:rFonts w:ascii="Times New Roman" w:hAnsi="Times New Roman" w:cs="Times New Roman"/>
          <w:color w:val="000000"/>
          <w:sz w:val="28"/>
          <w:szCs w:val="28"/>
        </w:rPr>
        <w:t>2. Контроль за выполнением данного постановления оставляю за собой.</w:t>
      </w:r>
    </w:p>
    <w:p w:rsidR="00E71E3D" w:rsidRPr="00905677" w:rsidRDefault="00E71E3D" w:rsidP="008F5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F5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6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 w:rsidR="00C70B33">
        <w:rPr>
          <w:rFonts w:ascii="Times New Roman" w:eastAsia="Calibri" w:hAnsi="Times New Roman" w:cs="Times New Roman"/>
          <w:sz w:val="28"/>
          <w:szCs w:val="28"/>
        </w:rPr>
        <w:t>«М</w:t>
      </w:r>
      <w:r w:rsidRPr="00905677">
        <w:rPr>
          <w:rFonts w:ascii="Times New Roman" w:eastAsia="Calibri" w:hAnsi="Times New Roman" w:cs="Times New Roman"/>
          <w:sz w:val="28"/>
          <w:szCs w:val="28"/>
        </w:rPr>
        <w:t>ежмуниципальном информационном бюллетен</w:t>
      </w:r>
      <w:r w:rsidR="00C70B33">
        <w:rPr>
          <w:rFonts w:ascii="Times New Roman" w:eastAsia="Calibri" w:hAnsi="Times New Roman" w:cs="Times New Roman"/>
          <w:sz w:val="28"/>
          <w:szCs w:val="28"/>
        </w:rPr>
        <w:t>е</w:t>
      </w:r>
      <w:r w:rsidRPr="00905677">
        <w:rPr>
          <w:rFonts w:ascii="Times New Roman" w:eastAsia="Calibri" w:hAnsi="Times New Roman" w:cs="Times New Roman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z w:val="28"/>
          <w:szCs w:val="28"/>
        </w:rPr>
        <w:t>джанского муниципального района.»</w:t>
      </w:r>
    </w:p>
    <w:p w:rsidR="00F27999" w:rsidRPr="00905677" w:rsidRDefault="00E71E3D" w:rsidP="008F53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F5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6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</w:t>
      </w:r>
      <w:r w:rsidR="008F533E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опубликования, но не ранее 01.01.2019 года.</w:t>
      </w:r>
    </w:p>
    <w:p w:rsidR="00F27999" w:rsidRPr="00905677" w:rsidRDefault="00F27999" w:rsidP="008F533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905677" w:rsidRDefault="00E71E3D" w:rsidP="008F533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Н.В. Красилова</w:t>
      </w:r>
    </w:p>
    <w:p w:rsidR="00F27999" w:rsidRPr="00905677" w:rsidRDefault="00F27999" w:rsidP="008F533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E3D" w:rsidRDefault="00E71E3D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E3D" w:rsidRDefault="00E71E3D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E" w:rsidRDefault="008F533E" w:rsidP="00F279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E3D" w:rsidRPr="00AE0825" w:rsidRDefault="00E71E3D" w:rsidP="00BD6A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1E3D" w:rsidRPr="00AE0825" w:rsidRDefault="008F533E" w:rsidP="00E71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F27999" w:rsidRPr="00AE0825" w:rsidRDefault="008F533E" w:rsidP="00E71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E71E3D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F27999" w:rsidRPr="00AE0825" w:rsidRDefault="00F27999" w:rsidP="00E71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27999" w:rsidRPr="00AE0825" w:rsidRDefault="00F27999" w:rsidP="00E71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02B3C">
        <w:rPr>
          <w:rFonts w:ascii="Times New Roman" w:hAnsi="Times New Roman" w:cs="Times New Roman"/>
          <w:color w:val="000000"/>
          <w:sz w:val="28"/>
          <w:szCs w:val="28"/>
        </w:rPr>
        <w:t>21.09.2018 № 33</w:t>
      </w: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999" w:rsidRDefault="00F27999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C70B33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-2021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15E9C" w:rsidRPr="00215E9C">
        <w:rPr>
          <w:sz w:val="24"/>
          <w:szCs w:val="24"/>
        </w:rPr>
        <w:t xml:space="preserve"> </w:t>
      </w:r>
    </w:p>
    <w:p w:rsidR="00215E9C" w:rsidRPr="00215E9C" w:rsidRDefault="00215E9C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C70B33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-2021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Pr="00B5001A" w:rsidRDefault="00B5001A" w:rsidP="00B5001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2018 -2021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(далее-программа) </w:t>
            </w:r>
          </w:p>
          <w:p w:rsidR="00AE0825" w:rsidRPr="00AE0825" w:rsidRDefault="00AE0825" w:rsidP="00AE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C70B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материальных потерь при тушении пожаров; укрепление и развитие материально-технической базы муниципальной добровольной пожарной дружины, 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81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100, 0 </w:t>
            </w:r>
            <w:proofErr w:type="gramStart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gramEnd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.в том числе по годам:</w:t>
            </w:r>
          </w:p>
          <w:p w:rsidR="00B5001A" w:rsidRDefault="00B5001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рублей;</w:t>
            </w:r>
          </w:p>
          <w:p w:rsidR="00B5001A" w:rsidRDefault="00B5001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B5001A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рублей;</w:t>
            </w:r>
          </w:p>
          <w:p w:rsidR="00B5001A" w:rsidRPr="00B5001A" w:rsidRDefault="00215E9C" w:rsidP="00C70B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-20,0 тыс. рублей.</w:t>
            </w:r>
          </w:p>
          <w:p w:rsidR="00AE0825" w:rsidRPr="00B5001A" w:rsidRDefault="00AE0825" w:rsidP="00C70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</w:t>
            </w:r>
            <w:proofErr w:type="spellStart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минерализированных</w:t>
            </w:r>
            <w:proofErr w:type="spellEnd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C70B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</w:t>
            </w:r>
          </w:p>
          <w:p w:rsidR="00AE0825" w:rsidRPr="00B5001A" w:rsidRDefault="00AE0825" w:rsidP="00C70B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риска переброски пожаров из лесной и степной зон на территорию жилой застройки.</w:t>
            </w:r>
          </w:p>
        </w:tc>
      </w:tr>
    </w:tbl>
    <w:p w:rsidR="00F27999" w:rsidRPr="00215E9C" w:rsidRDefault="00F27999" w:rsidP="00215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E9C" w:rsidRDefault="00215E9C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215E9C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программными методами 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215E9C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происходят  пожары. К числу объективных причин, обуславливающих крайнюю напряженность оперативной обстановки с пожарами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2019-202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 необходимы целенаправленные и 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 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</w:p>
    <w:p w:rsidR="00F27999" w:rsidRPr="00AE0825" w:rsidRDefault="00F27999" w:rsidP="00C70B33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F27999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</w:t>
      </w:r>
      <w:proofErr w:type="spellStart"/>
      <w:r w:rsidRPr="00AE0825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</w:r>
      <w:proofErr w:type="spellStart"/>
      <w:r w:rsidRPr="00AE0825">
        <w:rPr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Для своевременного решения вопросов по использованию источников противопожарного водоснабжения для целей пожаротушения силами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AF7189" w:rsidRPr="00BD6ABF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 объем 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18" w:type="dxa"/>
        <w:tblInd w:w="-9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8"/>
        <w:gridCol w:w="3647"/>
        <w:gridCol w:w="1291"/>
        <w:gridCol w:w="850"/>
        <w:gridCol w:w="993"/>
        <w:gridCol w:w="1043"/>
        <w:gridCol w:w="2006"/>
      </w:tblGrid>
      <w:tr w:rsidR="00AF7189" w:rsidRPr="00AF7189" w:rsidTr="00AF7189">
        <w:trPr>
          <w:trHeight w:val="1375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Nп</w:t>
            </w:r>
            <w:proofErr w:type="spellEnd"/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4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из местного бюджета (в установленном порядке) тыс. рублей </w:t>
            </w:r>
          </w:p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(в установленном порядке</w:t>
            </w:r>
          </w:p>
        </w:tc>
      </w:tr>
      <w:tr w:rsidR="00AF7189" w:rsidRPr="00AF7189" w:rsidTr="00AF7189">
        <w:trPr>
          <w:trHeight w:val="36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189" w:rsidRPr="00AF7189" w:rsidTr="00AF7189">
        <w:trPr>
          <w:trHeight w:val="168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7189" w:rsidRPr="00AF7189" w:rsidTr="00BD6ABF">
        <w:trPr>
          <w:trHeight w:val="967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0A4657" w:rsidRDefault="00AF718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</w:t>
            </w:r>
            <w:r w:rsidR="000A4657"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4657" w:rsidRPr="00AF7189" w:rsidRDefault="000A4657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0A4657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AF7189">
        <w:trPr>
          <w:trHeight w:val="10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0A4657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ограничению доступа огня к жилой части </w:t>
            </w:r>
            <w:r w:rsidR="000A4657"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Надеждинского </w:t>
            </w: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(опашка, создание минерализованных полос, контролируемый отжиг)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AF7189">
        <w:trPr>
          <w:trHeight w:val="426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AF7189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718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AF7189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BD6ABF" w:rsidRPr="00AF7189" w:rsidTr="00AF7189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BF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BF" w:rsidRPr="00AF7189" w:rsidRDefault="00BD6ABF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6ABF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6ABF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6ABF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6ABF" w:rsidRDefault="00BD6ABF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6ABF" w:rsidRPr="00AF7189" w:rsidRDefault="00BD6ABF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AF7189">
        <w:trPr>
          <w:trHeight w:val="69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0A4657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AF7189" w:rsidRPr="00AF7189" w:rsidTr="00BD6ABF">
        <w:trPr>
          <w:trHeight w:val="281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7189" w:rsidRPr="00AF7189" w:rsidRDefault="00AF718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7189" w:rsidRPr="00AF7189" w:rsidRDefault="00AF718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999" w:rsidRPr="00AF7189" w:rsidRDefault="00F27999" w:rsidP="000A46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999" w:rsidRPr="000A4657" w:rsidRDefault="00F27999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Ресурсное обеспечение программы </w:t>
      </w:r>
    </w:p>
    <w:p w:rsidR="00F27999" w:rsidRPr="00AE0825" w:rsidRDefault="00F27999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Возможность </w:t>
      </w:r>
      <w:proofErr w:type="gramStart"/>
      <w:r w:rsidRPr="00AE0825">
        <w:rPr>
          <w:rFonts w:ascii="Times New Roman" w:hAnsi="Times New Roman" w:cs="Times New Roman"/>
          <w:color w:val="000000"/>
          <w:sz w:val="28"/>
          <w:szCs w:val="28"/>
        </w:rPr>
        <w:t>привлечения  дополнительных</w:t>
      </w:r>
      <w:proofErr w:type="gramEnd"/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для финансирования программы учитываются как прогноз </w:t>
      </w:r>
      <w:proofErr w:type="spellStart"/>
      <w:r w:rsidRPr="00AE0825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соглашений (договоров) между участниками финансового обеспечения программы.</w:t>
      </w:r>
    </w:p>
    <w:p w:rsidR="00F27999" w:rsidRPr="00AE0825" w:rsidRDefault="00F27999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Оценка эффективности реализации программы 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BD6AB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99"/>
    <w:rsid w:val="00073651"/>
    <w:rsid w:val="000A4657"/>
    <w:rsid w:val="000C332E"/>
    <w:rsid w:val="00175762"/>
    <w:rsid w:val="00215E9C"/>
    <w:rsid w:val="00685387"/>
    <w:rsid w:val="00702B3C"/>
    <w:rsid w:val="008F533E"/>
    <w:rsid w:val="00905677"/>
    <w:rsid w:val="00A12492"/>
    <w:rsid w:val="00AA4686"/>
    <w:rsid w:val="00AB42DE"/>
    <w:rsid w:val="00AE0825"/>
    <w:rsid w:val="00AF7189"/>
    <w:rsid w:val="00B5001A"/>
    <w:rsid w:val="00B84863"/>
    <w:rsid w:val="00BD6ABF"/>
    <w:rsid w:val="00BE0BF5"/>
    <w:rsid w:val="00BE67A0"/>
    <w:rsid w:val="00C70B33"/>
    <w:rsid w:val="00E71E3D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B086-22A6-49E1-BB1F-5608AA07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dcterms:created xsi:type="dcterms:W3CDTF">2018-10-22T00:13:00Z</dcterms:created>
  <dcterms:modified xsi:type="dcterms:W3CDTF">2018-10-22T00:13:00Z</dcterms:modified>
</cp:coreProperties>
</file>