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0" w:rsidRPr="00CB6288" w:rsidRDefault="00FF74F0" w:rsidP="00FF74F0">
      <w:pPr>
        <w:spacing w:after="0"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74F0" w:rsidRPr="00CB6288" w:rsidRDefault="00A50754" w:rsidP="00FF74F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.10.2018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45</w:t>
      </w:r>
    </w:p>
    <w:p w:rsidR="00FF74F0" w:rsidRPr="00CB6288" w:rsidRDefault="00FF74F0" w:rsidP="00FF7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74F0" w:rsidRPr="00CB6288" w:rsidRDefault="00FF74F0" w:rsidP="00FF74F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FF74F0" w:rsidRPr="00CB6288" w:rsidRDefault="00FF74F0" w:rsidP="00FF74F0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Pr="00234BD8" w:rsidRDefault="00FF74F0" w:rsidP="00FF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_GoBack"/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показателей, размеров и условий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стимулирования труда руководителя муниципального казенного учреждения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>позволяющие оценить эффективность деятельности учреждения (руководителя)</w:t>
      </w:r>
    </w:p>
    <w:bookmarkEnd w:id="0"/>
    <w:bookmarkEnd w:id="1"/>
    <w:bookmarkEnd w:id="2"/>
    <w:p w:rsidR="00FF74F0" w:rsidRPr="00234BD8" w:rsidRDefault="00FF74F0" w:rsidP="00FF74F0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Default="00FF74F0" w:rsidP="00FF74F0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сельского поселения от 04.12.2013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>№ 65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Плана мероприятий по реализации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2190-р», администрация сельского поселения</w:t>
      </w:r>
    </w:p>
    <w:p w:rsidR="00FF74F0" w:rsidRPr="00CF4441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FF74F0" w:rsidRPr="00234BD8" w:rsidRDefault="00FF74F0" w:rsidP="00FF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     1. Утвердить прилагаемые показатели, размеры и условия стимулирования труда руководителя муниципального казенного</w:t>
      </w:r>
      <w:r w:rsidR="00501A1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234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образования «Надеждинское сельское поселение» Биробиджанского муниципального района Еврейской автономной области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, позволяющие оценить эффективность деятельности учреждения (руководителя).</w:t>
      </w:r>
    </w:p>
    <w:p w:rsidR="00FF74F0" w:rsidRPr="00CF4441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FF74F0" w:rsidRPr="00CF4441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FF74F0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Pr="00CF4441" w:rsidRDefault="00FF74F0" w:rsidP="00FF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Pr="00CF4441" w:rsidRDefault="00FF74F0" w:rsidP="00FF74F0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Н.В. Красилова</w:t>
      </w:r>
    </w:p>
    <w:p w:rsidR="00FF74F0" w:rsidRDefault="00FF74F0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74F0" w:rsidRDefault="00FF74F0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344D93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344D93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218DD">
        <w:rPr>
          <w:rFonts w:ascii="Times New Roman" w:hAnsi="Times New Roman" w:cs="Times New Roman"/>
          <w:color w:val="000000"/>
          <w:sz w:val="28"/>
          <w:szCs w:val="28"/>
        </w:rPr>
        <w:t xml:space="preserve">24.10.2018 № </w:t>
      </w:r>
      <w:r w:rsidR="00A50754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Показатели, размеры и условия стимулирования труда руководителя муниципального казенного учреждения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образования «Надеждинское сельское поселение» Биробиджанского муниципального района Еврейской автономной области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>, позволяющие оценить эффективность деятельности учреждения (руководителя)</w:t>
      </w: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предусматривает виды и размеры выплат стимулирующего характера руководителю муниципального казенного учреждения</w:t>
      </w:r>
      <w:r w:rsidR="00FF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«Централизованное хозяйственное учреждение»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образования «Надеждинское сельское поселение» Биробиджанского муниципального района Еврейской автономной области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>, подведомственного муниципальному образованию «Надеждинское сельское поселение» Биробиджанского муниципального района</w:t>
      </w:r>
      <w:r w:rsidR="00501A11" w:rsidRPr="00501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A11"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Еврейской автономной области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учреждение). </w:t>
      </w:r>
    </w:p>
    <w:p w:rsidR="00FF74F0" w:rsidRDefault="00FF74F0" w:rsidP="00FF74F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 постановлением администрации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29.08.2016 №49 </w:t>
      </w:r>
      <w:r w:rsidRPr="00A211A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11A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об оплате труда работников муниципального казённого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«Централизованное хозяйственное учреждение» </w:t>
      </w:r>
      <w:r w:rsidRPr="00A211A0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 w:rsidR="00501A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11A0">
        <w:rPr>
          <w:rFonts w:ascii="Times New Roman" w:hAnsi="Times New Roman" w:cs="Times New Roman"/>
          <w:color w:val="000000"/>
          <w:sz w:val="28"/>
          <w:szCs w:val="28"/>
        </w:rPr>
        <w:t>о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11A0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</w:t>
      </w:r>
      <w:r w:rsidR="00501A11">
        <w:rPr>
          <w:rFonts w:ascii="Times New Roman" w:hAnsi="Times New Roman" w:cs="Times New Roman"/>
          <w:color w:val="000000"/>
          <w:sz w:val="28"/>
          <w:szCs w:val="28"/>
        </w:rPr>
        <w:t>й автономной области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учреждения могут производиться следующие виды стимулирующих выплат:</w:t>
      </w:r>
    </w:p>
    <w:p w:rsidR="00E25B5D" w:rsidRPr="008218DD" w:rsidRDefault="00E25B5D" w:rsidP="008218DD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1) выплата за интенсивность и высокие результаты работы;</w:t>
      </w:r>
    </w:p>
    <w:p w:rsidR="00E25B5D" w:rsidRPr="008218DD" w:rsidRDefault="00E25B5D" w:rsidP="008218DD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2) премиальные выплаты по итогам работы;</w:t>
      </w:r>
    </w:p>
    <w:p w:rsidR="00E25B5D" w:rsidRPr="008218DD" w:rsidRDefault="00E25B5D" w:rsidP="008218DD">
      <w:pPr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3) доплата за звание (за почетное звание, ученую степень, нагрудный знак).</w:t>
      </w:r>
    </w:p>
    <w:p w:rsidR="00BF7D49" w:rsidRDefault="00BF7D49" w:rsidP="00340C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2.1. Выплата за интенсивность и высокие результаты работы руководителю производится ежемесячно в размере до 50 процентов должностного оклада руководителя учреждения при условии полного выполнения показателей эффективности деятельности учреждения (руководителя):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682"/>
        <w:gridCol w:w="3224"/>
        <w:gridCol w:w="1128"/>
        <w:gridCol w:w="2252"/>
      </w:tblGrid>
      <w:tr w:rsidR="00FF74F0" w:rsidRPr="000F3096" w:rsidTr="00C14E18">
        <w:trPr>
          <w:trHeight w:val="463"/>
        </w:trPr>
        <w:tc>
          <w:tcPr>
            <w:tcW w:w="676" w:type="dxa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F74F0" w:rsidRPr="000F3096" w:rsidRDefault="00FF74F0" w:rsidP="00C14E18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FF74F0" w:rsidRPr="000F3096" w:rsidRDefault="00FF74F0" w:rsidP="00C14E18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59" w:type="dxa"/>
          </w:tcPr>
          <w:p w:rsidR="00FF74F0" w:rsidRPr="000F3096" w:rsidRDefault="00FF74F0" w:rsidP="00C14E18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1134" w:type="dxa"/>
          </w:tcPr>
          <w:p w:rsidR="00FF74F0" w:rsidRPr="000F3096" w:rsidRDefault="00FF74F0" w:rsidP="00C14E18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FF74F0" w:rsidRPr="000F3096" w:rsidRDefault="00FF74F0" w:rsidP="00C14E18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Подтверждение показателя</w:t>
            </w:r>
          </w:p>
          <w:p w:rsidR="00FF74F0" w:rsidRPr="000F3096" w:rsidRDefault="00FF74F0" w:rsidP="00C14E18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4F0" w:rsidRPr="000F3096" w:rsidTr="00C14E18">
        <w:trPr>
          <w:trHeight w:val="463"/>
        </w:trPr>
        <w:tc>
          <w:tcPr>
            <w:tcW w:w="10031" w:type="dxa"/>
            <w:gridSpan w:val="5"/>
          </w:tcPr>
          <w:p w:rsidR="00FF74F0" w:rsidRPr="000F3096" w:rsidRDefault="00FF74F0" w:rsidP="00FF74F0">
            <w:pPr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1 Создание условий, отвечающих современным требованиям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676" w:type="dxa"/>
            <w:vMerge w:val="restart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</w:pPr>
            <w:r w:rsidRPr="000F3096">
              <w:rPr>
                <w:bCs/>
              </w:rPr>
              <w:t>Развитие материально-технической базы  учреждени</w:t>
            </w:r>
            <w:r w:rsidR="00B33421">
              <w:rPr>
                <w:bCs/>
              </w:rPr>
              <w:t>я</w:t>
            </w:r>
          </w:p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-Обеспечение современных условий, соответствующих </w:t>
            </w:r>
            <w:r w:rsidRPr="000F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санитарно-гигиеническим  требованиям; 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FF74F0" w:rsidRPr="000F3096" w:rsidRDefault="00FF74F0" w:rsidP="00C1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проверок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676" w:type="dxa"/>
            <w:vMerge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  <w:rPr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-выполнение необходимых объемов текущего ремонта;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проверок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676" w:type="dxa"/>
            <w:vMerge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  <w:rPr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B3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и санитарно-гигиеническое  состояние территории вокруг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>МКУ «ПДК Надеждинского сельского поселения»</w:t>
            </w: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, его филиала, администрации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по итогам проверок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676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  <w:rPr>
                <w:bCs/>
              </w:rPr>
            </w:pPr>
            <w:r w:rsidRPr="000F3096">
              <w:t>Укомплектованность организации кадрами  соответствующей квалификации</w:t>
            </w: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- Наличие квалифицированных кадров  в соответствии со штатным расписанием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F74F0" w:rsidRPr="000F3096" w:rsidRDefault="00B33421" w:rsidP="00B3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кадровом обеспечении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031" w:type="dxa"/>
            <w:gridSpan w:val="5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2: Эффективность управленческой деятельности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76" w:type="dxa"/>
            <w:vMerge w:val="restart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F74F0" w:rsidRPr="000F3096" w:rsidRDefault="00FF74F0" w:rsidP="00C14E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деятельности требованиям законодательства. Создание и обеспечение благоприятного морально- психологического климата в коллективе</w:t>
            </w: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1798"/>
        </w:trPr>
        <w:tc>
          <w:tcPr>
            <w:tcW w:w="676" w:type="dxa"/>
            <w:vMerge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F74F0" w:rsidRPr="000F3096" w:rsidRDefault="00FF74F0" w:rsidP="00C14E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взаимоотношения между работниками: отсутствие </w:t>
            </w:r>
            <w:r w:rsidRPr="000F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конфликтных ситуаций, отсутствие </w:t>
            </w: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обоснованных жалоб и обращений на деятельность руководителя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и жалоб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676" w:type="dxa"/>
            <w:vMerge w:val="restart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</w:pPr>
            <w:r w:rsidRPr="000F3096">
              <w:t>Исполнительская дисциплина</w:t>
            </w: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-своевременность разработки локальных нормативных актов, внесения изменений в локальные нормативные документы;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проверок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676" w:type="dxa"/>
            <w:vMerge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-своевременное представление требуемой информации, документов (статистические и иные отчеты, аналитическая информация и др.);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4F0" w:rsidRPr="000F3096" w:rsidRDefault="00B33421" w:rsidP="00C1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проверок</w:t>
            </w:r>
          </w:p>
        </w:tc>
      </w:tr>
      <w:tr w:rsidR="00FF74F0" w:rsidRPr="000F3096" w:rsidTr="00C14E18">
        <w:tblPrEx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676" w:type="dxa"/>
            <w:vMerge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F74F0" w:rsidRPr="000F3096" w:rsidRDefault="00FF74F0" w:rsidP="00C14E18">
            <w:pPr>
              <w:pStyle w:val="a3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FF74F0" w:rsidRPr="000F3096" w:rsidRDefault="00FF74F0" w:rsidP="00B3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исп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 xml:space="preserve">олнение документов: приказов и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локальных актов учреждения</w:t>
            </w:r>
          </w:p>
        </w:tc>
        <w:tc>
          <w:tcPr>
            <w:tcW w:w="1134" w:type="dxa"/>
            <w:shd w:val="clear" w:color="auto" w:fill="auto"/>
          </w:tcPr>
          <w:p w:rsidR="00FF74F0" w:rsidRPr="000F3096" w:rsidRDefault="00FF74F0" w:rsidP="00C1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FF74F0" w:rsidRPr="000F3096" w:rsidRDefault="00FF74F0" w:rsidP="00B3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проверки</w:t>
            </w:r>
          </w:p>
        </w:tc>
      </w:tr>
    </w:tbl>
    <w:p w:rsidR="00074488" w:rsidRDefault="00074488" w:rsidP="009D49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9D49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Размер выплаты за интенсивность и высокие результаты работы рассчитывается следующим образом: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0"/>
        <w:gridCol w:w="6517"/>
      </w:tblGrid>
      <w:tr w:rsidR="00BF7D49" w:rsidRPr="008218DD" w:rsidTr="00B33421">
        <w:trPr>
          <w:trHeight w:val="144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выплаты за интенсивность и высокие результаты работы с учетом полученных баллов (в процентах от максимального размера выплаты)</w:t>
            </w:r>
          </w:p>
        </w:tc>
      </w:tr>
      <w:tr w:rsidR="00BF7D49" w:rsidRPr="008218DD" w:rsidTr="00B33421">
        <w:trPr>
          <w:trHeight w:val="363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100 - 91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  <w:tr w:rsidR="00BF7D49" w:rsidRPr="008218DD" w:rsidTr="00B33421">
        <w:trPr>
          <w:trHeight w:val="363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90 - 81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</w:tr>
      <w:tr w:rsidR="00BF7D49" w:rsidRPr="008218DD" w:rsidTr="00B33421">
        <w:trPr>
          <w:trHeight w:val="363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80 - 71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</w:tr>
      <w:tr w:rsidR="00BF7D49" w:rsidRPr="008218DD" w:rsidTr="00B33421">
        <w:trPr>
          <w:trHeight w:val="363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70 - 51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BF7D49" w:rsidRPr="008218DD" w:rsidTr="00B33421">
        <w:trPr>
          <w:trHeight w:val="363"/>
        </w:trPr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50 </w:t>
            </w: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не производится </w:t>
            </w:r>
          </w:p>
        </w:tc>
      </w:tr>
    </w:tbl>
    <w:p w:rsidR="00BF7D49" w:rsidRPr="008218DD" w:rsidRDefault="00BF7D49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произведении выплаты за интенсивность и высокие результаты работы принимается главой администрации сельского поселения на основании доклада руководителя учреждения о выполнении показателей эффективности деятельности учреждения (руководителя), который представляется в администрацию сельского поселения до 20 числа каждого месяца по следующей форме:</w:t>
      </w:r>
    </w:p>
    <w:p w:rsidR="00BF7D49" w:rsidRPr="00340CCE" w:rsidRDefault="00BF7D49" w:rsidP="008218DD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E" w:rsidRPr="00340CCE" w:rsidRDefault="00340CCE" w:rsidP="00340CCE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CCE"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BF7D49" w:rsidRPr="00340CCE" w:rsidRDefault="00340CCE" w:rsidP="00340CCE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CC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34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</w:t>
      </w:r>
      <w:r w:rsidR="00FF74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Централизованное хозяйственное учреждение» </w:t>
      </w:r>
      <w:r w:rsidR="00FF74F0" w:rsidRPr="00234B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образования «Надеждинское сельское поселение» Биробиджанского муниципального района Еврейской автономной области</w:t>
      </w:r>
    </w:p>
    <w:p w:rsidR="00BF7D49" w:rsidRDefault="00BF7D49" w:rsidP="008218DD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CE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FF74F0" w:rsidRPr="00340CCE" w:rsidRDefault="00FF74F0" w:rsidP="008218DD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74F0" w:rsidRDefault="00FF74F0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</w:t>
      </w:r>
      <w:r w:rsidR="00340CCE" w:rsidRPr="008218DD">
        <w:rPr>
          <w:rFonts w:ascii="Times New Roman" w:hAnsi="Times New Roman" w:cs="Times New Roman"/>
          <w:color w:val="000000"/>
          <w:sz w:val="28"/>
          <w:szCs w:val="28"/>
        </w:rPr>
        <w:t>учредителя,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осуществляет администрация сельского поселения о выполнении показателей эффективности деятельности учреждения (руководителя)</w:t>
      </w:r>
    </w:p>
    <w:p w:rsidR="00FF74F0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за ______________ 20 ___ года</w:t>
      </w: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показателей эффективности деятельности учреждения (руководителя) по критериям оценки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5805"/>
        <w:gridCol w:w="3225"/>
      </w:tblGrid>
      <w:tr w:rsidR="00BF7D49" w:rsidRPr="008218DD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п\п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эффективности деятельности учреждения (руководителя)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выполнении </w:t>
            </w:r>
          </w:p>
        </w:tc>
      </w:tr>
      <w:tr w:rsidR="00BF7D49" w:rsidRPr="008218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74F0" w:rsidRPr="008218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4F0" w:rsidRPr="008218DD" w:rsidRDefault="00FF74F0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4F0" w:rsidRPr="008218DD" w:rsidRDefault="00FF74F0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4F0" w:rsidRPr="008218DD" w:rsidRDefault="00FF74F0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74F0" w:rsidRDefault="00FF74F0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FF74F0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Руководитель муниципального учреждения ___________________________</w:t>
      </w:r>
    </w:p>
    <w:p w:rsidR="00BF7D49" w:rsidRPr="008218DD" w:rsidRDefault="00FF74F0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(ФИО,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актный телефон) _______________</w:t>
      </w: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докладе, должна быть максимально полной, носить объективный характер и содержать описание проведенной работы по достижению каждого показателя, подтвержденного соответствующими расчетами. В случае снижения (увеличения) показателей необходимо указать причины.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за интенсивность и высокие результаты работы оформляется распоряжением администрации сельского поселения.</w:t>
      </w:r>
    </w:p>
    <w:p w:rsidR="005176D4" w:rsidRDefault="00BF7D49" w:rsidP="005176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176D4" w:rsidRPr="005176D4">
        <w:rPr>
          <w:rFonts w:ascii="Times New Roman" w:hAnsi="Times New Roman" w:cs="Times New Roman"/>
          <w:color w:val="000000"/>
          <w:sz w:val="28"/>
          <w:szCs w:val="28"/>
        </w:rPr>
        <w:t>Премиальные выплаты по итогам работы (далее - премиальные выплаты) могут устанавливаться руководителю учреждения  по итогам работы за квартал (далее - отчетный период). Премиальные выплаты руководителю муниципального учреждения не носят обязательный характер, производятся при выполнении  руководителем муниципального учреждения условий премирования, установленных в Порядке осуществления выплат стимулирующего характера руководителя муниципального учреждени</w:t>
      </w:r>
      <w:r w:rsidR="005176D4">
        <w:rPr>
          <w:rFonts w:ascii="Times New Roman" w:hAnsi="Times New Roman" w:cs="Times New Roman"/>
          <w:color w:val="000000"/>
          <w:sz w:val="28"/>
          <w:szCs w:val="28"/>
        </w:rPr>
        <w:t>я, утвержденн</w:t>
      </w:r>
      <w:r w:rsidR="00501A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76D4">
        <w:rPr>
          <w:rFonts w:ascii="Times New Roman" w:hAnsi="Times New Roman" w:cs="Times New Roman"/>
          <w:color w:val="000000"/>
          <w:sz w:val="28"/>
          <w:szCs w:val="28"/>
        </w:rPr>
        <w:t xml:space="preserve">м данным постановлением </w:t>
      </w:r>
      <w:r w:rsidR="005176D4" w:rsidRPr="005176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поселения, и премировании большинства работников муниципального учреждения. 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муниципального  учреждения. </w:t>
      </w:r>
    </w:p>
    <w:p w:rsidR="005176D4" w:rsidRDefault="005176D4" w:rsidP="005176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D4">
        <w:rPr>
          <w:rFonts w:ascii="Times New Roman" w:hAnsi="Times New Roman" w:cs="Times New Roman"/>
          <w:color w:val="000000"/>
          <w:sz w:val="28"/>
          <w:szCs w:val="28"/>
        </w:rPr>
        <w:t>Премиальные выплаты производятся пропорционально фактически отработанному времени в отчетном периоде с начислением районного коэффициента и процентной надбавки за стаж работы в южных районах Дальнего Востока</w:t>
      </w:r>
      <w:r w:rsidR="00FF74F0"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D49" w:rsidRPr="008218DD" w:rsidRDefault="00BF7D49" w:rsidP="005176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При назначении премиальных выплат по итогам работы учитываются следующие факторы, характеризующие деятельность учреждения (руководителя):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1) полнота и планомерность выполнения установленных годовых планов работы;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2) отсутствие обоснованных жалоб на деятельность учреждения;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3) целевое и эффективное использование полученных лимитов бюджетных назначений;</w:t>
      </w:r>
    </w:p>
    <w:p w:rsidR="00BF7D49" w:rsidRPr="008218DD" w:rsidRDefault="00501A11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) соблюдение сроков и порядка представления статистической, планово-отчетной и финансовой документации;</w:t>
      </w:r>
    </w:p>
    <w:p w:rsidR="00BF7D49" w:rsidRPr="008218DD" w:rsidRDefault="00501A11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) своевременность выполнения внеплановых (оперативных) заданий и поручений администрации сельского поселения;</w:t>
      </w:r>
    </w:p>
    <w:p w:rsidR="00BF7D49" w:rsidRPr="008218DD" w:rsidRDefault="00501A11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) отсутствие нарушений правил техники безопасности, повлекших за собой причинение вреда здоровью работников.</w:t>
      </w:r>
    </w:p>
    <w:p w:rsidR="00E25B5D" w:rsidRPr="008218DD" w:rsidRDefault="00E25B5D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Премиальные выплаты по итогам  работы руководителю учреждения не могут превышать 8 должностных окладов руководителя учреждения в год.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руководителю учреждения премиальных выплат по итогам работы принимает глава администрации сельского поселения, на основании оценки факторов, характеризующих деятельность учреждения, и уровня премирования работников.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премии оформляется распоряжением администрации сельского поселения.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2.3. Доплата за звание устанавливается руководителю учреждения, имеющему ученую степень или почетное звание по основному профилю профессиональной деятельности в размере 10 процентов должностного оклада. При наличии у руководителя учреждения почетных званий, ученых степеней установление доплаты производится по одному основанию.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3.Стимулирующие выплаты исчисляются с учетом районного коэффициента и процентной надбавки за стаж работы в южных районах Дальнего Востока.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8218DD" w:rsidRDefault="00AA4686" w:rsidP="008218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8218DD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9"/>
    <w:rsid w:val="00074488"/>
    <w:rsid w:val="00124B53"/>
    <w:rsid w:val="00324B6C"/>
    <w:rsid w:val="00340CCE"/>
    <w:rsid w:val="00344D93"/>
    <w:rsid w:val="00374149"/>
    <w:rsid w:val="00501A11"/>
    <w:rsid w:val="005176D4"/>
    <w:rsid w:val="00576F60"/>
    <w:rsid w:val="006D0E0D"/>
    <w:rsid w:val="006D5F62"/>
    <w:rsid w:val="00702687"/>
    <w:rsid w:val="007D1F50"/>
    <w:rsid w:val="007F7FFE"/>
    <w:rsid w:val="008218DD"/>
    <w:rsid w:val="0083273F"/>
    <w:rsid w:val="009A1FF2"/>
    <w:rsid w:val="009C3DAA"/>
    <w:rsid w:val="009D4910"/>
    <w:rsid w:val="009D50F1"/>
    <w:rsid w:val="00A50754"/>
    <w:rsid w:val="00AA4686"/>
    <w:rsid w:val="00B33421"/>
    <w:rsid w:val="00BF7D49"/>
    <w:rsid w:val="00E25B5D"/>
    <w:rsid w:val="00E85162"/>
    <w:rsid w:val="00E93DE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F457-5711-4A6B-942E-25E9C345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cp:lastPrinted>2018-10-26T01:22:00Z</cp:lastPrinted>
  <dcterms:created xsi:type="dcterms:W3CDTF">2018-11-16T00:33:00Z</dcterms:created>
  <dcterms:modified xsi:type="dcterms:W3CDTF">2018-11-16T00:33:00Z</dcterms:modified>
</cp:coreProperties>
</file>